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diagrams/drawing1.xml" ContentType="application/vnd.ms-office.drawingml.diagramDrawing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D9B" w:rsidRPr="00D95E6E" w:rsidRDefault="00E3446B" w:rsidP="00E3446B">
      <w:pPr>
        <w:spacing w:before="240" w:after="60"/>
        <w:jc w:val="center"/>
        <w:outlineLvl w:val="6"/>
        <w:rPr>
          <w:rFonts w:ascii="Warnock pro" w:eastAsia="Times New Roman" w:hAnsi="Warnock pro" w:cs="Arial"/>
          <w:b/>
          <w:bCs/>
          <w:color w:val="FF9900"/>
          <w:sz w:val="44"/>
          <w:szCs w:val="44"/>
          <w:lang w:val="de-DE"/>
        </w:rPr>
      </w:pPr>
      <w:r>
        <w:rPr>
          <w:rFonts w:ascii="Warnock pro" w:eastAsia="Times New Roman" w:hAnsi="Warnock pro" w:cs="Arial"/>
          <w:b/>
          <w:bCs/>
          <w:noProof/>
          <w:color w:val="FF9900"/>
          <w:sz w:val="44"/>
          <w:szCs w:val="44"/>
          <w:lang w:val="de-DE"/>
        </w:rPr>
        <w:drawing>
          <wp:inline distT="0" distB="0" distL="0" distR="0">
            <wp:extent cx="5800725" cy="1190625"/>
            <wp:effectExtent l="25400" t="25400" r="0" b="3175"/>
            <wp:docPr id="3" name="Diagramm 3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84D9B" w:rsidRPr="00284D9B" w:rsidRDefault="00284D9B" w:rsidP="00284D9B">
      <w:pPr>
        <w:ind w:left="2124" w:right="1411" w:firstLine="708"/>
        <w:jc w:val="both"/>
        <w:rPr>
          <w:rFonts w:ascii="Warnock pro" w:eastAsia="Arial Unicode MS" w:hAnsi="Warnock pro" w:cs="Arial"/>
          <w:b/>
          <w:color w:val="FF9900"/>
          <w:sz w:val="22"/>
          <w:szCs w:val="20"/>
          <w:lang w:val="de-DE"/>
        </w:rPr>
      </w:pPr>
      <w:r w:rsidRPr="00284D9B">
        <w:rPr>
          <w:rFonts w:ascii="Warnock pro" w:eastAsia="Arial Unicode MS" w:hAnsi="Warnock pro" w:cs="Arial"/>
          <w:b/>
          <w:color w:val="FF9900"/>
          <w:sz w:val="22"/>
          <w:szCs w:val="20"/>
          <w:lang w:val="de-DE"/>
        </w:rPr>
        <w:t xml:space="preserve"> </w:t>
      </w:r>
    </w:p>
    <w:p w:rsidR="00284D9B" w:rsidRPr="00D95E6E" w:rsidRDefault="00D95E6E" w:rsidP="00D95E6E">
      <w:pPr>
        <w:ind w:left="708" w:right="1411" w:firstLine="708"/>
        <w:jc w:val="center"/>
        <w:rPr>
          <w:rFonts w:ascii="Warnock pro" w:eastAsia="Arial Unicode MS" w:hAnsi="Warnock pro" w:cs="Arial"/>
          <w:b/>
          <w:sz w:val="28"/>
          <w:szCs w:val="28"/>
          <w:lang w:val="de-DE"/>
        </w:rPr>
      </w:pPr>
      <w:r w:rsidRPr="00D95E6E">
        <w:rPr>
          <w:rFonts w:ascii="Warnock pro" w:eastAsia="Arial Unicode MS" w:hAnsi="Warnock pro" w:cs="Arial"/>
          <w:b/>
          <w:sz w:val="28"/>
          <w:szCs w:val="28"/>
          <w:lang w:val="de-DE"/>
        </w:rPr>
        <w:t>WORKSHOP am 3.März 2015 18:30-20:00Uhr</w:t>
      </w:r>
      <w:bookmarkStart w:id="0" w:name="_GoBack"/>
      <w:bookmarkEnd w:id="0"/>
    </w:p>
    <w:p w:rsidR="00284D9B" w:rsidRPr="00284D9B" w:rsidRDefault="00284D9B" w:rsidP="00284D9B">
      <w:pPr>
        <w:ind w:left="2124" w:right="1411" w:firstLine="708"/>
        <w:jc w:val="both"/>
        <w:rPr>
          <w:rFonts w:ascii="Warnock pro" w:eastAsia="Arial Unicode MS" w:hAnsi="Warnock pro" w:cs="Arial"/>
          <w:b/>
          <w:color w:val="FF9900"/>
          <w:sz w:val="22"/>
          <w:szCs w:val="20"/>
          <w:lang w:val="de-DE"/>
        </w:rPr>
      </w:pPr>
    </w:p>
    <w:p w:rsidR="00284D9B" w:rsidRPr="00284D9B" w:rsidRDefault="00284D9B" w:rsidP="00284D9B">
      <w:pPr>
        <w:ind w:left="142" w:right="1411"/>
        <w:jc w:val="both"/>
        <w:rPr>
          <w:rFonts w:ascii="Warnock pro" w:eastAsia="Arial Unicode MS" w:hAnsi="Warnock pro" w:cs="Arial"/>
          <w:b/>
          <w:sz w:val="6"/>
          <w:szCs w:val="6"/>
          <w:lang w:val="de-DE"/>
        </w:rPr>
      </w:pPr>
    </w:p>
    <w:p w:rsidR="00284D9B" w:rsidRPr="00284D9B" w:rsidRDefault="00D95E6E" w:rsidP="00D95E6E">
      <w:pPr>
        <w:ind w:left="850" w:right="1411" w:firstLine="566"/>
        <w:jc w:val="center"/>
        <w:rPr>
          <w:rFonts w:ascii="Warnock pro" w:hAnsi="Warnock pro" w:cs="Arial"/>
          <w:bCs/>
          <w:sz w:val="20"/>
          <w:szCs w:val="20"/>
          <w:lang w:val="de-DE"/>
        </w:rPr>
      </w:pPr>
      <w:r>
        <w:rPr>
          <w:rFonts w:ascii="Warnock pro" w:hAnsi="Warnock pro" w:cs="Arial"/>
          <w:bCs/>
          <w:sz w:val="20"/>
          <w:szCs w:val="20"/>
          <w:lang w:val="de-DE"/>
        </w:rPr>
        <w:t>m</w:t>
      </w:r>
      <w:r w:rsidR="00284D9B" w:rsidRPr="00284D9B">
        <w:rPr>
          <w:rFonts w:ascii="Warnock pro" w:hAnsi="Warnock pro" w:cs="Arial"/>
          <w:bCs/>
          <w:sz w:val="20"/>
          <w:szCs w:val="20"/>
          <w:lang w:val="de-DE"/>
        </w:rPr>
        <w:t>it unserer Diätologin Edburg Edlinger</w:t>
      </w:r>
    </w:p>
    <w:p w:rsidR="00284D9B" w:rsidRPr="00284D9B" w:rsidRDefault="00284D9B" w:rsidP="00284D9B">
      <w:pPr>
        <w:ind w:left="142" w:right="1411"/>
        <w:jc w:val="both"/>
        <w:rPr>
          <w:rFonts w:ascii="Warnock pro" w:hAnsi="Warnock pro" w:cs="Arial"/>
          <w:sz w:val="20"/>
          <w:szCs w:val="20"/>
          <w:lang w:val="de-DE"/>
        </w:rPr>
      </w:pPr>
    </w:p>
    <w:p w:rsidR="00284D9B" w:rsidRPr="00284D9B" w:rsidRDefault="00284D9B" w:rsidP="00284D9B">
      <w:pPr>
        <w:ind w:left="142" w:right="1411"/>
        <w:jc w:val="both"/>
        <w:rPr>
          <w:rFonts w:ascii="Warnock pro" w:eastAsia="Arial Unicode MS" w:hAnsi="Warnock pro" w:cs="Arial"/>
          <w:b/>
          <w:color w:val="FF9900"/>
          <w:sz w:val="22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2"/>
          <w:szCs w:val="20"/>
          <w:lang w:val="de-DE"/>
        </w:rPr>
        <w:t>Programm</w:t>
      </w:r>
      <w:r w:rsidRPr="00284D9B">
        <w:rPr>
          <w:rFonts w:ascii="Warnock pro" w:eastAsia="Arial Unicode MS" w:hAnsi="Warnock pro" w:cs="Arial"/>
          <w:b/>
          <w:color w:val="FF9900"/>
          <w:sz w:val="22"/>
          <w:szCs w:val="20"/>
          <w:lang w:val="de-DE"/>
        </w:rPr>
        <w:t xml:space="preserve"> </w:t>
      </w:r>
    </w:p>
    <w:p w:rsidR="00284D9B" w:rsidRPr="00284D9B" w:rsidRDefault="00284D9B" w:rsidP="00284D9B">
      <w:pPr>
        <w:ind w:left="142" w:right="1411"/>
        <w:jc w:val="both"/>
        <w:rPr>
          <w:rFonts w:ascii="Warnock pro" w:eastAsia="Arial Unicode MS" w:hAnsi="Warnock pro" w:cs="Arial"/>
          <w:b/>
          <w:sz w:val="6"/>
          <w:szCs w:val="6"/>
          <w:lang w:val="de-DE"/>
        </w:rPr>
      </w:pPr>
    </w:p>
    <w:p w:rsidR="00284D9B" w:rsidRPr="00D95E6E" w:rsidRDefault="00284D9B" w:rsidP="00284D9B">
      <w:pPr>
        <w:ind w:left="142" w:right="1411"/>
        <w:jc w:val="both"/>
        <w:rPr>
          <w:rFonts w:ascii="Warnock pro" w:eastAsia="Arial Unicode MS" w:hAnsi="Warnock pro" w:cs="Arial"/>
          <w:sz w:val="22"/>
          <w:szCs w:val="22"/>
          <w:lang w:val="de-DE"/>
        </w:rPr>
      </w:pPr>
      <w:r w:rsidRPr="00D95E6E">
        <w:rPr>
          <w:rFonts w:ascii="Warnock pro" w:hAnsi="Warnock pro" w:cs="Arial"/>
          <w:bCs/>
          <w:sz w:val="22"/>
          <w:szCs w:val="22"/>
          <w:lang w:val="de-DE"/>
        </w:rPr>
        <w:t>Die Ernährungsexpertin serviert Erfolgsrezepte für alle, die langfristig Übergewicht reduzieren möchten. Neueste Erkenntnisse der Ernährungsmedizin werden von Edburg Edlinger unterhaltsam aufgetischt. Jede/r TeilnehmerIn nimmt sich konkrete Ziele für den persönlichen Alltag mit. Das Trainingsmotto: Verbote sind verboten!“</w:t>
      </w:r>
    </w:p>
    <w:p w:rsidR="00284D9B" w:rsidRPr="00284D9B" w:rsidRDefault="00284D9B" w:rsidP="00284D9B">
      <w:pPr>
        <w:ind w:left="142" w:right="1411"/>
        <w:jc w:val="both"/>
        <w:rPr>
          <w:rFonts w:ascii="Warnock pro" w:eastAsia="Arial Unicode MS" w:hAnsi="Warnock pro" w:cs="Arial"/>
          <w:b/>
          <w:sz w:val="10"/>
          <w:szCs w:val="10"/>
          <w:lang w:val="de-DE"/>
        </w:rPr>
      </w:pPr>
    </w:p>
    <w:p w:rsidR="00284D9B" w:rsidRPr="00284D9B" w:rsidRDefault="00284D9B" w:rsidP="00284D9B">
      <w:pPr>
        <w:ind w:left="142" w:right="1411"/>
        <w:jc w:val="both"/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</w:pPr>
    </w:p>
    <w:p w:rsidR="00284D9B" w:rsidRPr="00E3446B" w:rsidRDefault="00284D9B" w:rsidP="00284D9B">
      <w:pPr>
        <w:ind w:left="142" w:right="1411"/>
        <w:jc w:val="both"/>
        <w:rPr>
          <w:rFonts w:ascii="Warnock pro" w:eastAsia="Arial Unicode MS" w:hAnsi="Warnock pro" w:cs="Arial"/>
          <w:b/>
          <w:color w:val="FFC000"/>
          <w:sz w:val="22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2"/>
          <w:szCs w:val="20"/>
          <w:lang w:val="de-DE"/>
        </w:rPr>
        <w:t>Inhalt:</w:t>
      </w:r>
      <w:r w:rsidRPr="00E3446B">
        <w:rPr>
          <w:rFonts w:ascii="Warnock pro" w:hAnsi="Warnock pro"/>
          <w:snapToGrid w:val="0"/>
          <w:color w:val="FFC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de-DE"/>
        </w:rPr>
        <w:t xml:space="preserve"> </w:t>
      </w:r>
    </w:p>
    <w:p w:rsidR="00284D9B" w:rsidRPr="00284D9B" w:rsidRDefault="00284D9B" w:rsidP="00284D9B">
      <w:pPr>
        <w:ind w:left="142" w:right="1411" w:firstLine="708"/>
        <w:jc w:val="both"/>
        <w:rPr>
          <w:rFonts w:ascii="Warnock pro" w:eastAsia="Arial Unicode MS" w:hAnsi="Warnock pro" w:cs="Arial"/>
          <w:sz w:val="10"/>
          <w:szCs w:val="10"/>
          <w:lang w:val="de-DE"/>
        </w:rPr>
      </w:pPr>
    </w:p>
    <w:p w:rsidR="00284D9B" w:rsidRPr="00D95E6E" w:rsidRDefault="00284D9B" w:rsidP="00284D9B">
      <w:pPr>
        <w:numPr>
          <w:ilvl w:val="0"/>
          <w:numId w:val="1"/>
        </w:numPr>
        <w:ind w:right="1411"/>
        <w:jc w:val="both"/>
        <w:rPr>
          <w:rFonts w:ascii="Warnock pro" w:eastAsia="Times New Roman" w:hAnsi="Warnock pro" w:cs="Arial"/>
          <w:bCs/>
          <w:sz w:val="22"/>
          <w:szCs w:val="22"/>
          <w:lang w:val="de-DE"/>
        </w:rPr>
      </w:pPr>
      <w:r w:rsidRPr="00D95E6E">
        <w:rPr>
          <w:rFonts w:ascii="Warnock pro" w:eastAsia="Times New Roman" w:hAnsi="Warnock pro" w:cs="Arial"/>
          <w:bCs/>
          <w:sz w:val="22"/>
          <w:szCs w:val="22"/>
          <w:lang w:val="de-DE"/>
        </w:rPr>
        <w:t>Die häufigsten Wohlfühlform-Killer</w:t>
      </w:r>
    </w:p>
    <w:p w:rsidR="00284D9B" w:rsidRPr="00D95E6E" w:rsidRDefault="00284D9B" w:rsidP="00284D9B">
      <w:pPr>
        <w:numPr>
          <w:ilvl w:val="0"/>
          <w:numId w:val="1"/>
        </w:numPr>
        <w:ind w:right="1411"/>
        <w:jc w:val="both"/>
        <w:rPr>
          <w:rFonts w:ascii="Warnock pro" w:eastAsia="Times New Roman" w:hAnsi="Warnock pro" w:cs="Arial"/>
          <w:bCs/>
          <w:sz w:val="22"/>
          <w:szCs w:val="22"/>
          <w:lang w:val="de-DE"/>
        </w:rPr>
      </w:pPr>
      <w:r w:rsidRPr="00D95E6E">
        <w:rPr>
          <w:rFonts w:ascii="Warnock pro" w:eastAsia="Times New Roman" w:hAnsi="Warnock pro" w:cs="Arial"/>
          <w:bCs/>
          <w:sz w:val="22"/>
          <w:szCs w:val="22"/>
          <w:lang w:val="de-DE"/>
        </w:rPr>
        <w:t>Fettnäpfchen beim Abnehmen</w:t>
      </w:r>
    </w:p>
    <w:p w:rsidR="00284D9B" w:rsidRPr="00D95E6E" w:rsidRDefault="00284D9B" w:rsidP="00284D9B">
      <w:pPr>
        <w:numPr>
          <w:ilvl w:val="0"/>
          <w:numId w:val="1"/>
        </w:numPr>
        <w:ind w:right="1411"/>
        <w:jc w:val="both"/>
        <w:rPr>
          <w:rFonts w:ascii="Warnock pro" w:eastAsia="Times New Roman" w:hAnsi="Warnock pro" w:cs="Arial"/>
          <w:bCs/>
          <w:sz w:val="22"/>
          <w:szCs w:val="22"/>
          <w:lang w:val="de-DE"/>
        </w:rPr>
      </w:pPr>
      <w:r w:rsidRPr="00D95E6E">
        <w:rPr>
          <w:rFonts w:ascii="Warnock pro" w:eastAsia="Times New Roman" w:hAnsi="Warnock pro" w:cs="Arial"/>
          <w:bCs/>
          <w:sz w:val="22"/>
          <w:szCs w:val="22"/>
          <w:lang w:val="de-DE"/>
        </w:rPr>
        <w:t>Radikaldiäten und Jo-Jo-Effekt</w:t>
      </w:r>
    </w:p>
    <w:p w:rsidR="00284D9B" w:rsidRPr="00D95E6E" w:rsidRDefault="00284D9B" w:rsidP="00284D9B">
      <w:pPr>
        <w:numPr>
          <w:ilvl w:val="0"/>
          <w:numId w:val="1"/>
        </w:numPr>
        <w:ind w:right="1411"/>
        <w:jc w:val="both"/>
        <w:rPr>
          <w:rFonts w:ascii="Warnock pro" w:eastAsia="Times New Roman" w:hAnsi="Warnock pro" w:cs="Arial"/>
          <w:bCs/>
          <w:sz w:val="22"/>
          <w:szCs w:val="22"/>
          <w:lang w:val="de-DE"/>
        </w:rPr>
      </w:pPr>
      <w:r w:rsidRPr="00D95E6E">
        <w:rPr>
          <w:rFonts w:ascii="Warnock pro" w:eastAsia="Times New Roman" w:hAnsi="Warnock pro" w:cs="Arial"/>
          <w:bCs/>
          <w:sz w:val="22"/>
          <w:szCs w:val="22"/>
          <w:lang w:val="de-DE"/>
        </w:rPr>
        <w:t>Wie setze ich mein Ernährungswissen praktisch um: Die Wohlfühlformel</w:t>
      </w:r>
    </w:p>
    <w:p w:rsidR="00284D9B" w:rsidRPr="00D95E6E" w:rsidRDefault="00284D9B" w:rsidP="00284D9B">
      <w:pPr>
        <w:numPr>
          <w:ilvl w:val="0"/>
          <w:numId w:val="1"/>
        </w:numPr>
        <w:ind w:right="1411"/>
        <w:jc w:val="both"/>
        <w:rPr>
          <w:rFonts w:ascii="Warnock pro" w:eastAsia="Times New Roman" w:hAnsi="Warnock pro" w:cs="Arial"/>
          <w:bCs/>
          <w:sz w:val="22"/>
          <w:szCs w:val="22"/>
          <w:lang w:val="de-DE"/>
        </w:rPr>
      </w:pPr>
      <w:r w:rsidRPr="00D95E6E">
        <w:rPr>
          <w:rFonts w:ascii="Warnock pro" w:eastAsia="Times New Roman" w:hAnsi="Warnock pro" w:cs="Arial"/>
          <w:bCs/>
          <w:sz w:val="22"/>
          <w:szCs w:val="22"/>
          <w:lang w:val="de-DE"/>
        </w:rPr>
        <w:t>Ernährungspsychologie: Lust statt Frust: Die Genussformel</w:t>
      </w:r>
    </w:p>
    <w:p w:rsidR="00284D9B" w:rsidRPr="00D95E6E" w:rsidRDefault="00284D9B" w:rsidP="00284D9B">
      <w:pPr>
        <w:numPr>
          <w:ilvl w:val="0"/>
          <w:numId w:val="1"/>
        </w:numPr>
        <w:ind w:right="1411"/>
        <w:jc w:val="both"/>
        <w:rPr>
          <w:rFonts w:ascii="Warnock pro" w:eastAsia="Times New Roman" w:hAnsi="Warnock pro" w:cs="Arial"/>
          <w:bCs/>
          <w:sz w:val="22"/>
          <w:szCs w:val="22"/>
          <w:lang w:val="de-DE"/>
        </w:rPr>
      </w:pPr>
      <w:r w:rsidRPr="00D95E6E">
        <w:rPr>
          <w:rFonts w:ascii="Warnock pro" w:eastAsia="Times New Roman" w:hAnsi="Warnock pro" w:cs="Arial"/>
          <w:bCs/>
          <w:sz w:val="22"/>
          <w:szCs w:val="22"/>
          <w:lang w:val="de-DE"/>
        </w:rPr>
        <w:t xml:space="preserve">Schokoladen-Genussübung mit therapeutischem Effekt </w:t>
      </w: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</w:pP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</w:pP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b/>
          <w:sz w:val="20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 xml:space="preserve">Maximale Teilnehmerzahl: </w:t>
      </w:r>
      <w:r w:rsidRPr="00284D9B">
        <w:rPr>
          <w:rFonts w:ascii="Warnock pro" w:eastAsia="Arial Unicode MS" w:hAnsi="Warnock pro" w:cs="Arial"/>
          <w:b/>
          <w:sz w:val="20"/>
          <w:szCs w:val="20"/>
          <w:lang w:val="de-DE"/>
        </w:rPr>
        <w:tab/>
        <w:t>20 Personen</w:t>
      </w: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</w:pP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b/>
          <w:sz w:val="20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 xml:space="preserve">Seminarort: </w:t>
      </w: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b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b/>
          <w:sz w:val="20"/>
          <w:szCs w:val="20"/>
          <w:lang w:val="de-DE"/>
        </w:rPr>
        <w:tab/>
        <w:t>Aeskulap Vitalzentrum</w:t>
      </w:r>
    </w:p>
    <w:p w:rsidR="00284D9B" w:rsidRPr="00284D9B" w:rsidRDefault="00284D9B" w:rsidP="00284D9B">
      <w:pPr>
        <w:ind w:left="2124" w:right="1411" w:firstLine="708"/>
        <w:rPr>
          <w:rFonts w:ascii="Warnock pro" w:eastAsia="Arial Unicode MS" w:hAnsi="Warnock pro" w:cs="Arial"/>
          <w:sz w:val="20"/>
          <w:szCs w:val="20"/>
          <w:lang w:val="de-DE"/>
        </w:rPr>
      </w:pP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>Erdbergstraße 110, 1030 Wien, Österreich</w:t>
      </w: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b/>
          <w:color w:val="F79646" w:themeColor="accent6"/>
          <w:sz w:val="20"/>
          <w:szCs w:val="20"/>
          <w:lang w:val="de-DE"/>
        </w:rPr>
      </w:pP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sz w:val="20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>Datum &amp; Zeit:</w:t>
      </w:r>
      <w:r w:rsidRPr="00284D9B"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b/>
          <w:color w:val="F79646" w:themeColor="accent6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b/>
          <w:color w:val="F79646" w:themeColor="accent6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>Dienstag 3. März 2015  von 18.30 – 20:00</w:t>
      </w:r>
    </w:p>
    <w:p w:rsidR="00284D9B" w:rsidRPr="00284D9B" w:rsidRDefault="00284D9B" w:rsidP="00284D9B">
      <w:pPr>
        <w:ind w:left="142" w:right="1411"/>
        <w:rPr>
          <w:rFonts w:ascii="Warnock pro" w:eastAsia="Arial Unicode MS" w:hAnsi="Warnock pro" w:cs="Arial"/>
          <w:sz w:val="20"/>
          <w:szCs w:val="20"/>
          <w:lang w:val="de-DE"/>
        </w:rPr>
      </w:pPr>
    </w:p>
    <w:p w:rsidR="00284D9B" w:rsidRPr="00284D9B" w:rsidRDefault="00284D9B" w:rsidP="00284D9B">
      <w:pPr>
        <w:ind w:left="2832" w:right="1411" w:hanging="2690"/>
        <w:jc w:val="both"/>
        <w:rPr>
          <w:rFonts w:ascii="Warnock pro" w:eastAsia="Arial Unicode MS" w:hAnsi="Warnock pro" w:cs="Arial"/>
          <w:b/>
          <w:sz w:val="20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>Kosten:</w:t>
      </w:r>
      <w:r w:rsidRPr="00284D9B"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  <w:tab/>
        <w:t xml:space="preserve"> </w:t>
      </w:r>
      <w:r w:rsidRPr="00284D9B">
        <w:rPr>
          <w:rFonts w:ascii="Warnock pro" w:eastAsia="Arial Unicode MS" w:hAnsi="Warnock pro" w:cs="Arial"/>
          <w:b/>
          <w:sz w:val="20"/>
          <w:szCs w:val="20"/>
          <w:lang w:val="de-DE"/>
        </w:rPr>
        <w:t>€ 10</w:t>
      </w:r>
    </w:p>
    <w:p w:rsidR="00284D9B" w:rsidRPr="00284D9B" w:rsidRDefault="00284D9B" w:rsidP="00284D9B">
      <w:pPr>
        <w:ind w:left="142" w:right="1411"/>
        <w:jc w:val="both"/>
        <w:rPr>
          <w:rFonts w:ascii="Warnock pro" w:hAnsi="Warnock pro" w:cs="Arial"/>
          <w:sz w:val="20"/>
          <w:szCs w:val="20"/>
          <w:lang w:val="de-DE"/>
        </w:rPr>
      </w:pPr>
    </w:p>
    <w:p w:rsidR="00284D9B" w:rsidRPr="00284D9B" w:rsidRDefault="00284D9B" w:rsidP="00284D9B">
      <w:pPr>
        <w:ind w:left="142" w:right="1411"/>
        <w:jc w:val="both"/>
        <w:rPr>
          <w:rFonts w:ascii="Warnock pro" w:eastAsia="Arial Unicode MS" w:hAnsi="Warnock pro" w:cs="Arial"/>
          <w:sz w:val="20"/>
          <w:szCs w:val="20"/>
          <w:lang w:val="de-DE"/>
        </w:rPr>
      </w:pP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>Anmeldung:</w:t>
      </w:r>
      <w:r w:rsidRPr="00E3446B">
        <w:rPr>
          <w:rFonts w:ascii="Warnock pro" w:eastAsia="Arial Unicode MS" w:hAnsi="Warnock pro" w:cs="Arial"/>
          <w:b/>
          <w:color w:val="FFC000"/>
          <w:sz w:val="20"/>
          <w:szCs w:val="20"/>
          <w:lang w:val="de-DE"/>
        </w:rPr>
        <w:tab/>
        <w:t>bis 2. März 2015</w:t>
      </w:r>
      <w:r w:rsidRPr="00284D9B"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b/>
          <w:color w:val="FF9900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>Telefon: 01 7121583-21</w:t>
      </w:r>
    </w:p>
    <w:p w:rsidR="00284D9B" w:rsidRPr="00284D9B" w:rsidRDefault="00284D9B" w:rsidP="00284D9B">
      <w:pPr>
        <w:ind w:left="708" w:right="1411" w:firstLine="708"/>
        <w:jc w:val="both"/>
        <w:rPr>
          <w:rFonts w:ascii="Warnock pro" w:hAnsi="Warnock pro" w:cs="Arial"/>
          <w:sz w:val="2"/>
          <w:szCs w:val="2"/>
          <w:lang w:val="de-DE"/>
        </w:rPr>
      </w:pP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ab/>
      </w:r>
      <w:r w:rsidRPr="00284D9B">
        <w:rPr>
          <w:rFonts w:ascii="Warnock pro" w:eastAsia="Arial Unicode MS" w:hAnsi="Warnock pro" w:cs="Arial"/>
          <w:sz w:val="20"/>
          <w:szCs w:val="20"/>
          <w:lang w:val="de-DE"/>
        </w:rPr>
        <w:tab/>
        <w:t>E-Mail: vitalzentrum@aeskulap.at</w:t>
      </w:r>
    </w:p>
    <w:p w:rsidR="00284D9B" w:rsidRPr="00284D9B" w:rsidRDefault="00284D9B" w:rsidP="00284D9B">
      <w:pPr>
        <w:ind w:left="142" w:right="1411"/>
        <w:jc w:val="both"/>
        <w:rPr>
          <w:rFonts w:ascii="Warnock pro" w:hAnsi="Warnock pro" w:cs="Arial"/>
          <w:sz w:val="22"/>
          <w:szCs w:val="20"/>
          <w:lang w:val="de-DE"/>
        </w:rPr>
      </w:pPr>
    </w:p>
    <w:p w:rsidR="00E42645" w:rsidRDefault="00E42645" w:rsidP="00E42645">
      <w:pPr>
        <w:ind w:right="1"/>
      </w:pPr>
    </w:p>
    <w:sectPr w:rsidR="00E42645" w:rsidSect="00B64B32">
      <w:headerReference w:type="default" r:id="rId12"/>
      <w:pgSz w:w="11900" w:h="16840"/>
      <w:pgMar w:top="-5104" w:right="1410" w:bottom="0" w:left="1417" w:header="0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645" w:rsidRDefault="00E42645" w:rsidP="00E42645">
      <w:r>
        <w:separator/>
      </w:r>
    </w:p>
  </w:endnote>
  <w:endnote w:type="continuationSeparator" w:id="0">
    <w:p w:rsidR="00E42645" w:rsidRDefault="00E42645" w:rsidP="00E426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arnock pro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645" w:rsidRDefault="00E42645" w:rsidP="00E42645">
      <w:r>
        <w:separator/>
      </w:r>
    </w:p>
  </w:footnote>
  <w:footnote w:type="continuationSeparator" w:id="0">
    <w:p w:rsidR="00E42645" w:rsidRDefault="00E42645" w:rsidP="00E42645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645" w:rsidRDefault="00F92B6C" w:rsidP="00E42645">
    <w:pPr>
      <w:pStyle w:val="Kopfzeile"/>
      <w:tabs>
        <w:tab w:val="clear" w:pos="9072"/>
      </w:tabs>
      <w:ind w:left="-1417"/>
    </w:pPr>
    <w:r>
      <w:rPr>
        <w:noProof/>
        <w:lang w:val="de-DE"/>
      </w:rPr>
      <w:drawing>
        <wp:inline distT="0" distB="0" distL="0" distR="0">
          <wp:extent cx="7555464" cy="10691935"/>
          <wp:effectExtent l="0" t="0" r="0" b="190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1008_Preiszettel_DinA4_RZ_Vital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64" cy="1069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3504"/>
    <w:multiLevelType w:val="hybridMultilevel"/>
    <w:tmpl w:val="467EBBC6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2645"/>
    <w:rsid w:val="00284D9B"/>
    <w:rsid w:val="0056479B"/>
    <w:rsid w:val="00690F54"/>
    <w:rsid w:val="008B6F78"/>
    <w:rsid w:val="009921BB"/>
    <w:rsid w:val="009A7CA9"/>
    <w:rsid w:val="00B64B32"/>
    <w:rsid w:val="00CE0840"/>
    <w:rsid w:val="00D95E6E"/>
    <w:rsid w:val="00E3446B"/>
    <w:rsid w:val="00E42645"/>
    <w:rsid w:val="00F92B6C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7CA9"/>
    <w:rPr>
      <w:lang w:val="en-GB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4264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42645"/>
    <w:rPr>
      <w:lang w:val="en-GB"/>
    </w:rPr>
  </w:style>
  <w:style w:type="paragraph" w:styleId="Fuzeile">
    <w:name w:val="footer"/>
    <w:basedOn w:val="Standard"/>
    <w:link w:val="FuzeileZeichen"/>
    <w:uiPriority w:val="99"/>
    <w:unhideWhenUsed/>
    <w:rsid w:val="00E4264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42645"/>
    <w:rPr>
      <w:lang w:val="en-GB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4264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42645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26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2645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E426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2645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264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2645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diagramDrawing" Target="diagrams/drawing1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diagramData" Target="diagrams/data1.xml"/><Relationship Id="rId8" Type="http://schemas.openxmlformats.org/officeDocument/2006/relationships/diagramLayout" Target="diagrams/layout1.xml"/><Relationship Id="rId9" Type="http://schemas.openxmlformats.org/officeDocument/2006/relationships/diagramQuickStyle" Target="diagrams/quickStyle1.xml"/><Relationship Id="rId10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C6E588-B32F-4709-AEAD-A2164315582E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FAE14190-094F-44B1-B355-669614B82EDA}">
      <dgm:prSet phldrT="[Text]"/>
      <dgm:spPr>
        <a:solidFill>
          <a:schemeClr val="bg1"/>
        </a:solidFill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r>
            <a:rPr lang="de-AT" b="1">
              <a:solidFill>
                <a:srgbClr val="FFC000"/>
              </a:solidFill>
            </a:rPr>
            <a:t>GENUSSVOLL ESSEN bei ÜBERGEWICHT </a:t>
          </a:r>
          <a:r>
            <a:rPr lang="de-AT">
              <a:solidFill>
                <a:srgbClr val="FFC000"/>
              </a:solidFill>
            </a:rPr>
            <a:t>: </a:t>
          </a:r>
          <a:r>
            <a:rPr lang="de-AT" b="1">
              <a:solidFill>
                <a:srgbClr val="FFC000"/>
              </a:solidFill>
            </a:rPr>
            <a:t>iss Dich frei zur Wohlfühlform!</a:t>
          </a:r>
        </a:p>
      </dgm:t>
    </dgm:pt>
    <dgm:pt modelId="{FC6B9252-8C9E-4712-B9FE-1D243906C536}" type="parTrans" cxnId="{C2D1A8C8-5947-4364-AF28-956C2661F61F}">
      <dgm:prSet/>
      <dgm:spPr/>
      <dgm:t>
        <a:bodyPr/>
        <a:lstStyle/>
        <a:p>
          <a:endParaRPr lang="de-AT"/>
        </a:p>
      </dgm:t>
    </dgm:pt>
    <dgm:pt modelId="{417DB3D6-4EA1-4897-A51B-E90DE8C45AF7}" type="sibTrans" cxnId="{C2D1A8C8-5947-4364-AF28-956C2661F61F}">
      <dgm:prSet/>
      <dgm:spPr/>
      <dgm:t>
        <a:bodyPr/>
        <a:lstStyle/>
        <a:p>
          <a:endParaRPr lang="de-AT"/>
        </a:p>
      </dgm:t>
    </dgm:pt>
    <dgm:pt modelId="{5F150F90-76FD-4B99-A00C-5B75C6A9C4A9}" type="pres">
      <dgm:prSet presAssocID="{23C6E588-B32F-4709-AEAD-A2164315582E}" presName="linearFlow" presStyleCnt="0">
        <dgm:presLayoutVars>
          <dgm:dir/>
          <dgm:resizeHandles val="exact"/>
        </dgm:presLayoutVars>
      </dgm:prSet>
      <dgm:spPr/>
    </dgm:pt>
    <dgm:pt modelId="{728FF331-2333-47EA-ABCB-B2BA38949E8C}" type="pres">
      <dgm:prSet presAssocID="{FAE14190-094F-44B1-B355-669614B82EDA}" presName="comp" presStyleCnt="0"/>
      <dgm:spPr/>
    </dgm:pt>
    <dgm:pt modelId="{30C3A47C-24B0-4610-A7DD-E57A16A76B74}" type="pres">
      <dgm:prSet presAssocID="{FAE14190-094F-44B1-B355-669614B82EDA}" presName="rect2" presStyleLbl="node1" presStyleIdx="0" presStyleCnt="1" custScaleX="156600">
        <dgm:presLayoutVars>
          <dgm:bulletEnabled val="1"/>
        </dgm:presLayoutVars>
      </dgm:prSet>
      <dgm:spPr/>
      <dgm:t>
        <a:bodyPr/>
        <a:lstStyle/>
        <a:p>
          <a:endParaRPr lang="de-AT"/>
        </a:p>
      </dgm:t>
    </dgm:pt>
    <dgm:pt modelId="{5569EC7D-1BF4-4FC6-8591-012837AF2DFD}" type="pres">
      <dgm:prSet presAssocID="{FAE14190-094F-44B1-B355-669614B82EDA}" presName="rect1" presStyleLbl="lnNode1" presStyleIdx="0" presStyleCnt="1" custLinFactNeighborX="-63838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  <dgm:extLst>
        <a:ext uri="{E40237B7-FDA0-4F09-8148-C483321AD2D9}">
          <dgm14:cNvPr xmlns:dgm14="http://schemas.microsoft.com/office/drawing/2010/diagram" xmlns:a="http://schemas.openxmlformats.org/drawingml/2006/main" xmlns:dgm="http://schemas.openxmlformats.org/drawingml/2006/diagram" xmlns="" id="0" name="" descr="Edburg.Edlinger_Schoko-Vergleich.jpg"/>
        </a:ext>
      </dgm:extLst>
    </dgm:pt>
  </dgm:ptLst>
  <dgm:cxnLst>
    <dgm:cxn modelId="{C2D1A8C8-5947-4364-AF28-956C2661F61F}" srcId="{23C6E588-B32F-4709-AEAD-A2164315582E}" destId="{FAE14190-094F-44B1-B355-669614B82EDA}" srcOrd="0" destOrd="0" parTransId="{FC6B9252-8C9E-4712-B9FE-1D243906C536}" sibTransId="{417DB3D6-4EA1-4897-A51B-E90DE8C45AF7}"/>
    <dgm:cxn modelId="{C0BD275F-059B-46E8-9289-26CFE1D3A9C2}" type="presOf" srcId="{FAE14190-094F-44B1-B355-669614B82EDA}" destId="{30C3A47C-24B0-4610-A7DD-E57A16A76B74}" srcOrd="0" destOrd="0" presId="urn:microsoft.com/office/officeart/2008/layout/AlternatingPictureBlocks"/>
    <dgm:cxn modelId="{B72D4C0A-F850-4BA2-9FE4-CCC1B986724B}" type="presOf" srcId="{23C6E588-B32F-4709-AEAD-A2164315582E}" destId="{5F150F90-76FD-4B99-A00C-5B75C6A9C4A9}" srcOrd="0" destOrd="0" presId="urn:microsoft.com/office/officeart/2008/layout/AlternatingPictureBlocks"/>
    <dgm:cxn modelId="{5085AFC2-339F-49FC-94E1-8388FC18F717}" type="presParOf" srcId="{5F150F90-76FD-4B99-A00C-5B75C6A9C4A9}" destId="{728FF331-2333-47EA-ABCB-B2BA38949E8C}" srcOrd="0" destOrd="0" presId="urn:microsoft.com/office/officeart/2008/layout/AlternatingPictureBlocks"/>
    <dgm:cxn modelId="{A142B542-A253-415E-81A2-57FD297C7537}" type="presParOf" srcId="{728FF331-2333-47EA-ABCB-B2BA38949E8C}" destId="{30C3A47C-24B0-4610-A7DD-E57A16A76B74}" srcOrd="0" destOrd="0" presId="urn:microsoft.com/office/officeart/2008/layout/AlternatingPictureBlocks"/>
    <dgm:cxn modelId="{2D2DA5BE-B0F7-4F07-83EF-6FE1AE08F576}" type="presParOf" srcId="{728FF331-2333-47EA-ABCB-B2BA38949E8C}" destId="{5569EC7D-1BF4-4FC6-8591-012837AF2DFD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0C3A47C-24B0-4610-A7DD-E57A16A76B74}">
      <dsp:nvSpPr>
        <dsp:cNvPr id="0" name=""/>
        <dsp:cNvSpPr/>
      </dsp:nvSpPr>
      <dsp:spPr>
        <a:xfrm>
          <a:off x="1114937" y="0"/>
          <a:ext cx="4122450" cy="119062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AT" sz="2400" b="1" kern="1200">
              <a:solidFill>
                <a:srgbClr val="FFC000"/>
              </a:solidFill>
            </a:rPr>
            <a:t>GENUSSVOLL ESSEN bei ÜBERGEWICHT </a:t>
          </a:r>
          <a:r>
            <a:rPr lang="de-AT" sz="2400" kern="1200">
              <a:solidFill>
                <a:srgbClr val="FFC000"/>
              </a:solidFill>
            </a:rPr>
            <a:t>: </a:t>
          </a:r>
          <a:r>
            <a:rPr lang="de-AT" sz="2400" b="1" kern="1200">
              <a:solidFill>
                <a:srgbClr val="FFC000"/>
              </a:solidFill>
            </a:rPr>
            <a:t>iss Dich frei zur Wohlfühlform!</a:t>
          </a:r>
        </a:p>
      </dsp:txBody>
      <dsp:txXfrm>
        <a:off x="1114937" y="0"/>
        <a:ext cx="4122450" cy="1190625"/>
      </dsp:txXfrm>
    </dsp:sp>
    <dsp:sp modelId="{5569EC7D-1BF4-4FC6-8591-012837AF2DFD}">
      <dsp:nvSpPr>
        <dsp:cNvPr id="0" name=""/>
        <dsp:cNvSpPr/>
      </dsp:nvSpPr>
      <dsp:spPr>
        <a:xfrm>
          <a:off x="0" y="0"/>
          <a:ext cx="1178718" cy="119062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reisserdesign.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Marie-Theres Reisser</dc:creator>
  <cp:lastModifiedBy>Christoph Lillie</cp:lastModifiedBy>
  <cp:revision>2</cp:revision>
  <cp:lastPrinted>2015-02-19T21:15:00Z</cp:lastPrinted>
  <dcterms:created xsi:type="dcterms:W3CDTF">2015-02-23T22:36:00Z</dcterms:created>
  <dcterms:modified xsi:type="dcterms:W3CDTF">2015-02-23T22:36:00Z</dcterms:modified>
</cp:coreProperties>
</file>